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B85C" w14:textId="14B832FB" w:rsidR="008E4E42" w:rsidRPr="004B60CD" w:rsidRDefault="00C70E87" w:rsidP="00C70E87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D68A3"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22F9EA23" w:rsidR="008D68A3" w:rsidRPr="001A0FA5" w:rsidRDefault="001A0FA5" w:rsidP="001A0FA5">
      <w:r>
        <w:rPr>
          <w:rFonts w:asciiTheme="minorHAnsi" w:hAnsiTheme="minorHAnsi" w:cstheme="minorHAnsi"/>
          <w:iCs/>
          <w:spacing w:val="-1"/>
          <w:szCs w:val="24"/>
        </w:rPr>
        <w:t xml:space="preserve">   </w:t>
      </w:r>
      <w:bookmarkStart w:id="0" w:name="_GoBack"/>
      <w:bookmarkEnd w:id="0"/>
      <w:r w:rsidR="008D68A3"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="008D68A3" w:rsidRPr="008D68A3">
        <w:rPr>
          <w:rFonts w:asciiTheme="minorHAnsi" w:hAnsiTheme="minorHAnsi" w:cstheme="minorHAnsi"/>
          <w:iCs/>
          <w:szCs w:val="24"/>
        </w:rPr>
        <w:t xml:space="preserve"> </w:t>
      </w:r>
      <w:r w:rsidR="008D68A3"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="008D68A3"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="008D68A3"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="008D68A3" w:rsidRPr="008D68A3">
        <w:rPr>
          <w:rFonts w:asciiTheme="minorHAnsi" w:hAnsiTheme="minorHAnsi" w:cstheme="minorHAnsi"/>
          <w:iCs/>
          <w:szCs w:val="24"/>
        </w:rPr>
        <w:t xml:space="preserve"> </w:t>
      </w:r>
      <w:r w:rsidR="008D68A3"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1A0FA5">
          <w:rPr>
            <w:rStyle w:val="Hyperlink"/>
            <w:sz w:val="20"/>
          </w:rPr>
          <w:t>NHSE guid</w:t>
        </w:r>
        <w:r w:rsidRPr="001A0FA5">
          <w:rPr>
            <w:rStyle w:val="Hyperlink"/>
            <w:sz w:val="20"/>
          </w:rPr>
          <w:t>a</w:t>
        </w:r>
        <w:r w:rsidRPr="001A0FA5">
          <w:rPr>
            <w:rStyle w:val="Hyperlink"/>
            <w:sz w:val="20"/>
          </w:rPr>
          <w:t>nce</w:t>
        </w:r>
      </w:hyperlink>
      <w:r w:rsidR="008D68A3"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06506D52" w14:textId="639A0914" w:rsidR="004B60CD" w:rsidRDefault="008E4E42" w:rsidP="00F70E91">
      <w:pPr>
        <w:spacing w:before="72"/>
        <w:ind w:left="142" w:right="336"/>
        <w:rPr>
          <w:rFonts w:asciiTheme="minorHAnsi" w:hAnsiTheme="minorHAnsi" w:cstheme="minorHAnsi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  <w:r w:rsidR="00F70E91" w:rsidRPr="00F70E91">
        <w:t xml:space="preserve"> </w:t>
      </w:r>
      <w:hyperlink r:id="rId12" w:history="1">
        <w:r w:rsidR="00F70E91" w:rsidRPr="007B3D5F">
          <w:rPr>
            <w:rStyle w:val="Hyperlink"/>
            <w:rFonts w:asciiTheme="minorHAnsi" w:hAnsiTheme="minorHAnsi" w:cstheme="minorHAnsi"/>
          </w:rPr>
          <w:t>rduh.relocationexpenses@nhs.net</w:t>
        </w:r>
      </w:hyperlink>
    </w:p>
    <w:p w14:paraId="279545A2" w14:textId="77777777" w:rsidR="00F70E91" w:rsidRPr="00F70E91" w:rsidRDefault="00F70E91" w:rsidP="00F70E91">
      <w:pPr>
        <w:spacing w:before="72"/>
        <w:ind w:left="142" w:right="336"/>
        <w:rPr>
          <w:rFonts w:asciiTheme="minorHAnsi" w:eastAsia="Arial" w:hAnsiTheme="minorHAnsi" w:cstheme="minorHAnsi"/>
          <w:iCs/>
          <w:szCs w:val="24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2E6A5A7C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  <w:r w:rsidR="00C865FD">
        <w:rPr>
          <w:rFonts w:asciiTheme="minorHAnsi" w:hAnsiTheme="minorHAnsi" w:cstheme="minorHAnsi"/>
          <w:szCs w:val="24"/>
        </w:rPr>
        <w:t xml:space="preserve"> </w:t>
      </w:r>
    </w:p>
    <w:p w14:paraId="3218AEE2" w14:textId="44AE5583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  <w:r w:rsidR="00C865FD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</w:t>
      </w:r>
    </w:p>
    <w:p w14:paraId="6C5DF4C0" w14:textId="38D7BA9F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  <w:r w:rsidR="00C865FD">
        <w:rPr>
          <w:rFonts w:asciiTheme="minorHAnsi" w:eastAsia="MS Gothic" w:hAnsiTheme="minorHAnsi" w:cstheme="minorHAnsi"/>
          <w:szCs w:val="24"/>
        </w:rPr>
        <w:t xml:space="preserve"> </w:t>
      </w:r>
    </w:p>
    <w:p w14:paraId="10083C08" w14:textId="3B1C3906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 xml:space="preserve">Section </w:t>
      </w:r>
      <w:r w:rsidR="00C865FD">
        <w:rPr>
          <w:rFonts w:asciiTheme="minorHAnsi" w:eastAsia="MS Gothic" w:hAnsiTheme="minorHAnsi" w:cstheme="minorHAnsi"/>
          <w:szCs w:val="24"/>
        </w:rPr>
        <w:t>6 &amp;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5CE33860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2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2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1A96D7D5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  <w:r w:rsidR="00321955">
              <w:rPr>
                <w:rFonts w:asciiTheme="minorHAnsi" w:hAnsiTheme="minorHAnsi" w:cstheme="minorHAnsi"/>
                <w:b/>
                <w:bCs/>
              </w:rPr>
              <w:t xml:space="preserve"> / Excess Mileage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3A1D5B1E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  <w:r w:rsidR="00321955">
              <w:rPr>
                <w:rFonts w:asciiTheme="minorHAnsi" w:hAnsiTheme="minorHAnsi" w:cstheme="minorHAnsi"/>
              </w:rPr>
              <w:t xml:space="preserve"> or Excess Mileage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elsewhere?  If yes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4CDE1360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r w:rsidR="00A9466C"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below,</w:t>
            </w:r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88535" w14:textId="77777777" w:rsidR="003767AA" w:rsidRDefault="003767AA" w:rsidP="008E4E42">
      <w:pPr>
        <w:spacing w:after="0" w:line="240" w:lineRule="auto"/>
      </w:pPr>
      <w:r>
        <w:separator/>
      </w:r>
    </w:p>
  </w:endnote>
  <w:endnote w:type="continuationSeparator" w:id="0">
    <w:p w14:paraId="30427898" w14:textId="77777777" w:rsidR="003767AA" w:rsidRDefault="003767AA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DE2E" w14:textId="77777777" w:rsidR="003767AA" w:rsidRDefault="003767AA" w:rsidP="008E4E42">
      <w:pPr>
        <w:spacing w:after="0" w:line="240" w:lineRule="auto"/>
      </w:pPr>
      <w:r>
        <w:separator/>
      </w:r>
    </w:p>
  </w:footnote>
  <w:footnote w:type="continuationSeparator" w:id="0">
    <w:p w14:paraId="40ED12FF" w14:textId="77777777" w:rsidR="003767AA" w:rsidRDefault="003767AA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1B77" w14:textId="67E40313" w:rsidR="00F35963" w:rsidRDefault="00A946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56EE4F" wp14:editId="32B1ABD4">
          <wp:simplePos x="0" y="0"/>
          <wp:positionH relativeFrom="column">
            <wp:posOffset>5029200</wp:posOffset>
          </wp:positionH>
          <wp:positionV relativeFrom="paragraph">
            <wp:posOffset>-382905</wp:posOffset>
          </wp:positionV>
          <wp:extent cx="1838325" cy="10001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3c2jqKpnaAPulQT3uiTrF94Wdb3kxb51F2XA1VKuARZn/nHPEYzamq+vlpGYI7cgW5atznJ9LNLmfDwQWeI4Q==" w:salt="n9t3wV5Xq9ia7XmHtnQlS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0FA5"/>
    <w:rsid w:val="001A426E"/>
    <w:rsid w:val="001C037E"/>
    <w:rsid w:val="001C75D1"/>
    <w:rsid w:val="001D5F8C"/>
    <w:rsid w:val="001E4511"/>
    <w:rsid w:val="002132CA"/>
    <w:rsid w:val="00280103"/>
    <w:rsid w:val="002B4F47"/>
    <w:rsid w:val="002B6E95"/>
    <w:rsid w:val="002C3FD4"/>
    <w:rsid w:val="002C4FF8"/>
    <w:rsid w:val="002E3C27"/>
    <w:rsid w:val="00321955"/>
    <w:rsid w:val="0033419A"/>
    <w:rsid w:val="00353C84"/>
    <w:rsid w:val="003709E7"/>
    <w:rsid w:val="00374FE9"/>
    <w:rsid w:val="003767AA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4A22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8006A2"/>
    <w:rsid w:val="00803A70"/>
    <w:rsid w:val="0081665B"/>
    <w:rsid w:val="00832EEC"/>
    <w:rsid w:val="00835BD0"/>
    <w:rsid w:val="0088272E"/>
    <w:rsid w:val="0089119F"/>
    <w:rsid w:val="008A5C90"/>
    <w:rsid w:val="008C1952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02AD3"/>
    <w:rsid w:val="00A27165"/>
    <w:rsid w:val="00A5514B"/>
    <w:rsid w:val="00A7789F"/>
    <w:rsid w:val="00A9241C"/>
    <w:rsid w:val="00A9466C"/>
    <w:rsid w:val="00AA156D"/>
    <w:rsid w:val="00AC5AD7"/>
    <w:rsid w:val="00AD433B"/>
    <w:rsid w:val="00B6052E"/>
    <w:rsid w:val="00BD7141"/>
    <w:rsid w:val="00BF40BE"/>
    <w:rsid w:val="00C6646B"/>
    <w:rsid w:val="00C70E87"/>
    <w:rsid w:val="00C71E72"/>
    <w:rsid w:val="00C865FD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A3322"/>
    <w:rsid w:val="00EB1A4A"/>
    <w:rsid w:val="00F35963"/>
    <w:rsid w:val="00F41296"/>
    <w:rsid w:val="00F50772"/>
    <w:rsid w:val="00F70E91"/>
    <w:rsid w:val="00F8381C"/>
    <w:rsid w:val="00F8638E"/>
    <w:rsid w:val="00FD7D5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0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duh.relocationexpenses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193F15"/>
    <w:rsid w:val="00444197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CACEA-B274-4194-B8CA-6F3DD77E83F6}">
  <ds:schemaRefs>
    <ds:schemaRef ds:uri="http://purl.org/dc/dcmitype/"/>
    <ds:schemaRef ds:uri="http://schemas.microsoft.com/office/infopath/2007/PartnerControls"/>
    <ds:schemaRef ds:uri="4c85af41-a918-4196-b146-0c19cc9d807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6a58031-f60e-433e-aa45-cca4a3e89a0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4C866-75EE-49E0-BC61-F66949B8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Varkey Gain (Royal Devon and Exeter NHS Foundation Trust)</cp:lastModifiedBy>
  <cp:revision>17</cp:revision>
  <dcterms:created xsi:type="dcterms:W3CDTF">2021-07-15T14:25:00Z</dcterms:created>
  <dcterms:modified xsi:type="dcterms:W3CDTF">2025-11-14T14:53:00Z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